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DA6" w:rsidRPr="00573E2B" w:rsidRDefault="008B6DA6" w:rsidP="008B6DA6">
      <w:pPr>
        <w:jc w:val="center"/>
      </w:pPr>
      <w:bookmarkStart w:id="0" w:name="_GoBack"/>
      <w:bookmarkEnd w:id="0"/>
      <w:r w:rsidRPr="00573E2B">
        <w:t>STATEMENT OF R.L. MCNEELY ON BEHALF OF THE FELMERS O. CHANEY ADV</w:t>
      </w:r>
      <w:r w:rsidR="004A7CA8">
        <w:t>OCACY BOARD</w:t>
      </w:r>
      <w:r w:rsidRPr="00573E2B">
        <w:t xml:space="preserve"> (FCAB) </w:t>
      </w:r>
    </w:p>
    <w:p w:rsidR="008B6DA6" w:rsidRPr="000006F3" w:rsidRDefault="008B6DA6" w:rsidP="008B6DA6">
      <w:pPr>
        <w:rPr>
          <w:sz w:val="20"/>
          <w:szCs w:val="20"/>
        </w:rPr>
      </w:pPr>
    </w:p>
    <w:p w:rsidR="008B6DA6" w:rsidRDefault="008B6DA6" w:rsidP="003B553A">
      <w:pPr>
        <w:jc w:val="center"/>
        <w:outlineLvl w:val="0"/>
      </w:pPr>
      <w:r>
        <w:rPr>
          <w:b/>
          <w:bCs/>
          <w:sz w:val="23"/>
          <w:szCs w:val="23"/>
        </w:rPr>
        <w:t xml:space="preserve">Position Statement Against </w:t>
      </w:r>
      <w:r w:rsidR="003B553A">
        <w:rPr>
          <w:b/>
          <w:bCs/>
          <w:sz w:val="23"/>
          <w:szCs w:val="23"/>
        </w:rPr>
        <w:t>Assembly Bill 48</w:t>
      </w:r>
    </w:p>
    <w:p w:rsidR="003B553A" w:rsidRDefault="003B553A" w:rsidP="003B553A">
      <w:pPr>
        <w:jc w:val="center"/>
        <w:rPr>
          <w:sz w:val="20"/>
          <w:szCs w:val="20"/>
        </w:rPr>
      </w:pPr>
      <w:r w:rsidRPr="003B553A">
        <w:rPr>
          <w:sz w:val="20"/>
          <w:szCs w:val="20"/>
        </w:rPr>
        <w:t xml:space="preserve">An Act to amend 939.645 (1) (b) and 939.645 (4) of the statutes; </w:t>
      </w:r>
    </w:p>
    <w:p w:rsidR="003B553A" w:rsidRPr="003B553A" w:rsidRDefault="003B553A" w:rsidP="003B553A">
      <w:pPr>
        <w:jc w:val="center"/>
        <w:rPr>
          <w:sz w:val="20"/>
          <w:szCs w:val="20"/>
        </w:rPr>
      </w:pPr>
      <w:r w:rsidRPr="003B553A">
        <w:rPr>
          <w:sz w:val="20"/>
          <w:szCs w:val="20"/>
        </w:rPr>
        <w:t>Relating to: expanding the definition of hate crime victims to include law enforcement officers.</w:t>
      </w:r>
    </w:p>
    <w:p w:rsidR="008B6DA6" w:rsidRPr="000006F3" w:rsidRDefault="008B6DA6" w:rsidP="008B6DA6">
      <w:pPr>
        <w:rPr>
          <w:sz w:val="20"/>
          <w:szCs w:val="20"/>
        </w:rPr>
      </w:pPr>
    </w:p>
    <w:p w:rsidR="002E1D45" w:rsidRDefault="008B6DA6" w:rsidP="008B6DA6">
      <w:pPr>
        <w:pStyle w:val="Default"/>
        <w:jc w:val="center"/>
        <w:outlineLvl w:val="0"/>
        <w:rPr>
          <w:b/>
          <w:bCs/>
          <w:sz w:val="23"/>
          <w:szCs w:val="23"/>
        </w:rPr>
      </w:pPr>
      <w:r>
        <w:rPr>
          <w:b/>
          <w:bCs/>
          <w:sz w:val="23"/>
          <w:szCs w:val="23"/>
        </w:rPr>
        <w:t xml:space="preserve">Submitted to </w:t>
      </w:r>
      <w:r w:rsidR="002E1D45">
        <w:rPr>
          <w:b/>
          <w:bCs/>
          <w:sz w:val="23"/>
          <w:szCs w:val="23"/>
        </w:rPr>
        <w:t>Erin Mellon, Committee Clerk</w:t>
      </w:r>
    </w:p>
    <w:p w:rsidR="002E1D45" w:rsidRDefault="002E1D45" w:rsidP="008B6DA6">
      <w:pPr>
        <w:pStyle w:val="Default"/>
        <w:jc w:val="center"/>
        <w:outlineLvl w:val="0"/>
        <w:rPr>
          <w:b/>
          <w:bCs/>
          <w:sz w:val="23"/>
          <w:szCs w:val="23"/>
        </w:rPr>
      </w:pPr>
      <w:r>
        <w:rPr>
          <w:b/>
          <w:bCs/>
          <w:sz w:val="23"/>
          <w:szCs w:val="23"/>
        </w:rPr>
        <w:t xml:space="preserve">Assembly Committee on Public Safety </w:t>
      </w:r>
    </w:p>
    <w:p w:rsidR="008B6DA6" w:rsidRDefault="005B7158" w:rsidP="005B7158">
      <w:pPr>
        <w:pStyle w:val="Default"/>
        <w:jc w:val="center"/>
        <w:rPr>
          <w:sz w:val="20"/>
          <w:szCs w:val="20"/>
        </w:rPr>
      </w:pPr>
      <w:r>
        <w:rPr>
          <w:sz w:val="20"/>
          <w:szCs w:val="20"/>
        </w:rPr>
        <w:tab/>
        <w:t>Rep. John Spiros, Chair (R-Marshfield); Rep. Jesse Kremer, Vice Chair (R-Kewaskum)</w:t>
      </w:r>
    </w:p>
    <w:p w:rsidR="008B6DA6" w:rsidRDefault="008B6DA6" w:rsidP="008B6DA6"/>
    <w:p w:rsidR="008B6DA6" w:rsidRDefault="008B6DA6" w:rsidP="008B6DA6"/>
    <w:p w:rsidR="00270C13" w:rsidRPr="00F95EA7" w:rsidRDefault="008B6DA6" w:rsidP="008B6DA6">
      <w:pPr>
        <w:pStyle w:val="Default"/>
        <w:jc w:val="both"/>
        <w:rPr>
          <w:bCs/>
          <w:sz w:val="23"/>
          <w:szCs w:val="23"/>
        </w:rPr>
      </w:pPr>
      <w:r>
        <w:rPr>
          <w:bCs/>
          <w:sz w:val="23"/>
          <w:szCs w:val="23"/>
        </w:rPr>
        <w:tab/>
      </w:r>
      <w:r w:rsidRPr="00F95EA7">
        <w:rPr>
          <w:bCs/>
          <w:sz w:val="23"/>
          <w:szCs w:val="23"/>
        </w:rPr>
        <w:t xml:space="preserve">The </w:t>
      </w:r>
      <w:proofErr w:type="spellStart"/>
      <w:r w:rsidRPr="00F95EA7">
        <w:rPr>
          <w:bCs/>
          <w:sz w:val="23"/>
          <w:szCs w:val="23"/>
        </w:rPr>
        <w:t>Felmers</w:t>
      </w:r>
      <w:proofErr w:type="spellEnd"/>
      <w:r w:rsidRPr="00F95EA7">
        <w:rPr>
          <w:bCs/>
          <w:sz w:val="23"/>
          <w:szCs w:val="23"/>
        </w:rPr>
        <w:t xml:space="preserve"> O. Chaney </w:t>
      </w:r>
      <w:r w:rsidR="005B7158" w:rsidRPr="00F95EA7">
        <w:rPr>
          <w:bCs/>
          <w:sz w:val="23"/>
          <w:szCs w:val="23"/>
        </w:rPr>
        <w:t xml:space="preserve">Advocacy Board </w:t>
      </w:r>
      <w:r w:rsidRPr="00F95EA7">
        <w:rPr>
          <w:bCs/>
          <w:sz w:val="23"/>
          <w:szCs w:val="23"/>
        </w:rPr>
        <w:t>(FC</w:t>
      </w:r>
      <w:r w:rsidR="005B7158" w:rsidRPr="00F95EA7">
        <w:rPr>
          <w:bCs/>
          <w:sz w:val="23"/>
          <w:szCs w:val="23"/>
        </w:rPr>
        <w:t>AB)</w:t>
      </w:r>
      <w:r w:rsidRPr="00F95EA7">
        <w:rPr>
          <w:bCs/>
          <w:sz w:val="23"/>
          <w:szCs w:val="23"/>
        </w:rPr>
        <w:t xml:space="preserve"> is </w:t>
      </w:r>
      <w:r w:rsidR="00270C13" w:rsidRPr="00F95EA7">
        <w:rPr>
          <w:sz w:val="23"/>
          <w:szCs w:val="23"/>
        </w:rPr>
        <w:t>FCAB is an advocacy board comprised of private citizens guided by a shared concern for social justice, corrections policy, and the successful re-entry of former inmates as they return to their communities.</w:t>
      </w:r>
      <w:r w:rsidR="00270C13" w:rsidRPr="00F95EA7">
        <w:rPr>
          <w:bCs/>
          <w:sz w:val="23"/>
          <w:szCs w:val="23"/>
        </w:rPr>
        <w:t xml:space="preserve"> The mission of FCAB may be succinctly stated as follows:</w:t>
      </w:r>
    </w:p>
    <w:p w:rsidR="00270C13" w:rsidRPr="00270C13" w:rsidRDefault="00270C13" w:rsidP="008B6DA6">
      <w:pPr>
        <w:pStyle w:val="Default"/>
        <w:jc w:val="both"/>
        <w:rPr>
          <w:bCs/>
        </w:rPr>
      </w:pPr>
    </w:p>
    <w:p w:rsidR="00270C13" w:rsidRPr="00270C13" w:rsidRDefault="00270C13" w:rsidP="00270C13">
      <w:pPr>
        <w:pStyle w:val="Default"/>
        <w:ind w:left="720" w:right="630"/>
        <w:jc w:val="both"/>
        <w:rPr>
          <w:bCs/>
          <w:sz w:val="20"/>
          <w:szCs w:val="20"/>
        </w:rPr>
      </w:pPr>
      <w:r w:rsidRPr="00270C13">
        <w:rPr>
          <w:sz w:val="20"/>
          <w:szCs w:val="20"/>
        </w:rPr>
        <w:t>The object and purpose of this Board is to advocate in behalf of reducing recidivism, enhancing ex-offender re-integration, and lowering state budget costs due to incarceration. Additionally, FCAB is dedicated to disseminating to the lay public and to decision-makers pertinent information that can assist in achieving those goals, and it serves as a contact point with the community at large to share information and respond to issues that are brought to the Board's attention. FCAB seeks also to be vigilant in its cognizance of the safety, needs, and related concerns of residents of the Milwaukee metropolitan community,</w:t>
      </w:r>
      <w:r w:rsidR="002A0705">
        <w:rPr>
          <w:sz w:val="20"/>
          <w:szCs w:val="20"/>
        </w:rPr>
        <w:t xml:space="preserve"> </w:t>
      </w:r>
      <w:r w:rsidRPr="00270C13">
        <w:rPr>
          <w:sz w:val="20"/>
          <w:szCs w:val="20"/>
        </w:rPr>
        <w:t>in particular, and to promote policies and procedures that are harmonious with the afore</w:t>
      </w:r>
      <w:r w:rsidR="002A0705">
        <w:rPr>
          <w:sz w:val="20"/>
          <w:szCs w:val="20"/>
        </w:rPr>
        <w:t>-</w:t>
      </w:r>
      <w:r w:rsidRPr="00270C13">
        <w:rPr>
          <w:sz w:val="20"/>
          <w:szCs w:val="20"/>
        </w:rPr>
        <w:t>mention</w:t>
      </w:r>
      <w:r w:rsidR="002A0705">
        <w:rPr>
          <w:sz w:val="20"/>
          <w:szCs w:val="20"/>
        </w:rPr>
        <w:t>e</w:t>
      </w:r>
      <w:r w:rsidRPr="00270C13">
        <w:rPr>
          <w:sz w:val="20"/>
          <w:szCs w:val="20"/>
        </w:rPr>
        <w:t>d goals.</w:t>
      </w:r>
    </w:p>
    <w:p w:rsidR="00FF3FFB" w:rsidRDefault="00270C13" w:rsidP="00224E08">
      <w:pPr>
        <w:pStyle w:val="Default"/>
        <w:jc w:val="both"/>
        <w:rPr>
          <w:bCs/>
          <w:sz w:val="23"/>
          <w:szCs w:val="23"/>
        </w:rPr>
      </w:pPr>
      <w:r w:rsidRPr="00270C13">
        <w:rPr>
          <w:bCs/>
        </w:rPr>
        <w:br/>
      </w:r>
      <w:r w:rsidR="008B6DA6">
        <w:rPr>
          <w:bCs/>
          <w:sz w:val="23"/>
          <w:szCs w:val="23"/>
        </w:rPr>
        <w:tab/>
        <w:t xml:space="preserve">FCAB, given its mission, is </w:t>
      </w:r>
      <w:r w:rsidR="00FF3FFB">
        <w:rPr>
          <w:bCs/>
          <w:sz w:val="23"/>
          <w:szCs w:val="23"/>
        </w:rPr>
        <w:t>alarmed</w:t>
      </w:r>
      <w:r w:rsidR="008B6DA6">
        <w:rPr>
          <w:bCs/>
          <w:sz w:val="23"/>
          <w:szCs w:val="23"/>
        </w:rPr>
        <w:t xml:space="preserve"> at prospects for the passage of </w:t>
      </w:r>
      <w:r>
        <w:rPr>
          <w:bCs/>
          <w:sz w:val="23"/>
          <w:szCs w:val="23"/>
        </w:rPr>
        <w:t>A</w:t>
      </w:r>
      <w:r w:rsidR="008B6DA6">
        <w:rPr>
          <w:bCs/>
          <w:sz w:val="23"/>
          <w:szCs w:val="23"/>
        </w:rPr>
        <w:t xml:space="preserve">B </w:t>
      </w:r>
      <w:r>
        <w:rPr>
          <w:bCs/>
          <w:sz w:val="23"/>
          <w:szCs w:val="23"/>
        </w:rPr>
        <w:t>48</w:t>
      </w:r>
      <w:r w:rsidR="008B6DA6">
        <w:rPr>
          <w:bCs/>
          <w:sz w:val="23"/>
          <w:szCs w:val="23"/>
        </w:rPr>
        <w:t xml:space="preserve">.  We regard </w:t>
      </w:r>
      <w:r w:rsidR="00F95EA7">
        <w:rPr>
          <w:bCs/>
          <w:sz w:val="23"/>
          <w:szCs w:val="23"/>
        </w:rPr>
        <w:t>said</w:t>
      </w:r>
      <w:r w:rsidR="008B6DA6">
        <w:rPr>
          <w:bCs/>
          <w:sz w:val="23"/>
          <w:szCs w:val="23"/>
        </w:rPr>
        <w:t xml:space="preserve"> passage as </w:t>
      </w:r>
      <w:r w:rsidR="002A0705">
        <w:rPr>
          <w:bCs/>
          <w:sz w:val="23"/>
          <w:szCs w:val="23"/>
        </w:rPr>
        <w:t xml:space="preserve">contributing </w:t>
      </w:r>
      <w:r w:rsidR="008B6DA6">
        <w:rPr>
          <w:bCs/>
          <w:sz w:val="23"/>
          <w:szCs w:val="23"/>
        </w:rPr>
        <w:t>to a de jure decimation of Milwaukee’s African American</w:t>
      </w:r>
      <w:r w:rsidR="00F95EA7">
        <w:rPr>
          <w:bCs/>
          <w:sz w:val="23"/>
          <w:szCs w:val="23"/>
        </w:rPr>
        <w:t xml:space="preserve"> community, </w:t>
      </w:r>
      <w:r w:rsidR="002A0705">
        <w:rPr>
          <w:bCs/>
          <w:sz w:val="23"/>
          <w:szCs w:val="23"/>
        </w:rPr>
        <w:t xml:space="preserve">other </w:t>
      </w:r>
      <w:r w:rsidR="008B6DA6">
        <w:rPr>
          <w:bCs/>
          <w:sz w:val="23"/>
          <w:szCs w:val="23"/>
        </w:rPr>
        <w:t>communit</w:t>
      </w:r>
      <w:r w:rsidR="002A0705">
        <w:rPr>
          <w:bCs/>
          <w:sz w:val="23"/>
          <w:szCs w:val="23"/>
        </w:rPr>
        <w:t>ies of color, and to low socio-economic status communities, regardless of race</w:t>
      </w:r>
      <w:r w:rsidR="008B6DA6">
        <w:rPr>
          <w:bCs/>
          <w:sz w:val="23"/>
          <w:szCs w:val="23"/>
        </w:rPr>
        <w:t xml:space="preserve">.  That is because </w:t>
      </w:r>
      <w:r>
        <w:rPr>
          <w:bCs/>
          <w:sz w:val="23"/>
          <w:szCs w:val="23"/>
        </w:rPr>
        <w:t>A</w:t>
      </w:r>
      <w:r w:rsidR="008B6DA6">
        <w:rPr>
          <w:bCs/>
          <w:sz w:val="23"/>
          <w:szCs w:val="23"/>
        </w:rPr>
        <w:t xml:space="preserve">B </w:t>
      </w:r>
      <w:r>
        <w:rPr>
          <w:bCs/>
          <w:sz w:val="23"/>
          <w:szCs w:val="23"/>
        </w:rPr>
        <w:t>48, if passed,</w:t>
      </w:r>
      <w:r w:rsidR="008B6DA6">
        <w:rPr>
          <w:bCs/>
          <w:sz w:val="23"/>
          <w:szCs w:val="23"/>
        </w:rPr>
        <w:t xml:space="preserve"> </w:t>
      </w:r>
      <w:r>
        <w:rPr>
          <w:bCs/>
          <w:sz w:val="23"/>
          <w:szCs w:val="23"/>
        </w:rPr>
        <w:t xml:space="preserve">will confer hate crime status </w:t>
      </w:r>
      <w:r w:rsidR="002A0705">
        <w:rPr>
          <w:bCs/>
          <w:sz w:val="23"/>
          <w:szCs w:val="23"/>
        </w:rPr>
        <w:t xml:space="preserve">and, correspondingly, enhanced penalties </w:t>
      </w:r>
      <w:r>
        <w:rPr>
          <w:bCs/>
          <w:sz w:val="23"/>
          <w:szCs w:val="23"/>
        </w:rPr>
        <w:t xml:space="preserve">upon all </w:t>
      </w:r>
      <w:r w:rsidR="002A0705">
        <w:rPr>
          <w:bCs/>
          <w:sz w:val="23"/>
          <w:szCs w:val="23"/>
        </w:rPr>
        <w:t xml:space="preserve">found </w:t>
      </w:r>
      <w:r>
        <w:rPr>
          <w:bCs/>
          <w:sz w:val="23"/>
          <w:szCs w:val="23"/>
        </w:rPr>
        <w:t xml:space="preserve">guilty of </w:t>
      </w:r>
      <w:r w:rsidR="002C63B1">
        <w:rPr>
          <w:bCs/>
          <w:sz w:val="23"/>
          <w:szCs w:val="23"/>
        </w:rPr>
        <w:t xml:space="preserve">intentional </w:t>
      </w:r>
      <w:r>
        <w:rPr>
          <w:bCs/>
          <w:sz w:val="23"/>
          <w:szCs w:val="23"/>
        </w:rPr>
        <w:t>crimes against law enforcement officers</w:t>
      </w:r>
      <w:r w:rsidR="00FF3FFB">
        <w:rPr>
          <w:bCs/>
          <w:sz w:val="23"/>
          <w:szCs w:val="23"/>
        </w:rPr>
        <w:t>.  We regard this as being pre-textual because</w:t>
      </w:r>
      <w:r w:rsidR="001E6626">
        <w:rPr>
          <w:bCs/>
          <w:sz w:val="23"/>
          <w:szCs w:val="23"/>
        </w:rPr>
        <w:t xml:space="preserve"> </w:t>
      </w:r>
      <w:r w:rsidR="005A144D">
        <w:rPr>
          <w:bCs/>
          <w:sz w:val="23"/>
          <w:szCs w:val="23"/>
        </w:rPr>
        <w:t xml:space="preserve">police departments, through disproportionate untoward tactics such as “broken windows” strategies, body searches and stop-and-frisk tactics, target high crime areas; i.e., minority and/or poor communities. </w:t>
      </w:r>
      <w:r w:rsidR="00FF3FFB">
        <w:rPr>
          <w:bCs/>
          <w:sz w:val="23"/>
          <w:szCs w:val="23"/>
        </w:rPr>
        <w:t xml:space="preserve">Consequently, it is precisely these communities that will contribute the bulk of those impaled by this legislation.  </w:t>
      </w:r>
      <w:r w:rsidR="00224E08">
        <w:rPr>
          <w:bCs/>
          <w:sz w:val="23"/>
          <w:szCs w:val="23"/>
        </w:rPr>
        <w:t xml:space="preserve">Hate crime status, for example, could be conferred on one who punches a police officer, a crime ordinarily considered to be a misdemeanor.  </w:t>
      </w:r>
      <w:r w:rsidR="002C63B1">
        <w:rPr>
          <w:bCs/>
          <w:sz w:val="23"/>
          <w:szCs w:val="23"/>
        </w:rPr>
        <w:t>Such legislation also is out of step with the current era wherein many states are looking for ways to reduce the pressure of hyper-incarceration on state budgets.  Too, if enacted, AB 48 would be passed in the absence of any substantive empirical evidence to support the existence of widespread, systemically organized attempts to assassinate or otherwise harm police officers, as well as in the absence of any empirical evidence supporting the contention that conferring hate crime status constitutes any deterrent effect.</w:t>
      </w:r>
    </w:p>
    <w:p w:rsidR="00F1080F" w:rsidRDefault="00F1080F" w:rsidP="00F1080F">
      <w:pPr>
        <w:pStyle w:val="Default"/>
        <w:jc w:val="both"/>
        <w:rPr>
          <w:bCs/>
          <w:sz w:val="23"/>
          <w:szCs w:val="23"/>
        </w:rPr>
      </w:pPr>
    </w:p>
    <w:p w:rsidR="00270C13" w:rsidRDefault="00F1080F" w:rsidP="00F1080F">
      <w:pPr>
        <w:tabs>
          <w:tab w:val="left" w:pos="288"/>
          <w:tab w:val="num" w:pos="720"/>
        </w:tabs>
        <w:jc w:val="both"/>
        <w:rPr>
          <w:bCs/>
          <w:sz w:val="23"/>
          <w:szCs w:val="23"/>
        </w:rPr>
      </w:pPr>
      <w:r>
        <w:rPr>
          <w:bCs/>
          <w:sz w:val="23"/>
          <w:szCs w:val="23"/>
        </w:rPr>
        <w:tab/>
      </w:r>
      <w:r w:rsidR="00990A0A">
        <w:rPr>
          <w:bCs/>
          <w:sz w:val="23"/>
          <w:szCs w:val="23"/>
        </w:rPr>
        <w:t xml:space="preserve">Police officers engage in dangerous work </w:t>
      </w:r>
      <w:r w:rsidR="002C63B1">
        <w:rPr>
          <w:bCs/>
          <w:sz w:val="23"/>
          <w:szCs w:val="23"/>
        </w:rPr>
        <w:t xml:space="preserve">and often </w:t>
      </w:r>
      <w:r w:rsidR="00990A0A">
        <w:rPr>
          <w:bCs/>
          <w:sz w:val="23"/>
          <w:szCs w:val="23"/>
        </w:rPr>
        <w:t>serve with valor and distinction</w:t>
      </w:r>
      <w:r w:rsidR="002C63B1">
        <w:rPr>
          <w:bCs/>
          <w:sz w:val="23"/>
          <w:szCs w:val="23"/>
        </w:rPr>
        <w:t>.  As citizens, we owe them a lot.  That is why</w:t>
      </w:r>
      <w:r w:rsidR="00224E08">
        <w:rPr>
          <w:bCs/>
          <w:sz w:val="23"/>
          <w:szCs w:val="23"/>
        </w:rPr>
        <w:t>, as noted by the ACLU: “</w:t>
      </w:r>
      <w:r w:rsidR="00224E08">
        <w:t>There are already severe penalties for attacks on police officers in Wisconsin, where even a threat of harm to a police officer or a member of their family may be charged as a felony.”  Instead of enacting legislation that could be construed as pre-textual, why not enact incentives for the police and local communities to collaborate with each other?  That, certainly, has been shown to be a better course</w:t>
      </w:r>
      <w:r w:rsidR="000006F3">
        <w:t>,</w:t>
      </w:r>
      <w:r w:rsidR="000006F3">
        <w:rPr>
          <w:rStyle w:val="FootnoteReference"/>
          <w:rFonts w:cs="Arial"/>
          <w:shd w:val="clear" w:color="auto" w:fill="FFFFFF"/>
        </w:rPr>
        <w:footnoteReference w:id="1"/>
      </w:r>
      <w:r w:rsidR="000006F3">
        <w:rPr>
          <w:bCs/>
          <w:sz w:val="23"/>
          <w:szCs w:val="23"/>
        </w:rPr>
        <w:t xml:space="preserve"> leading to r</w:t>
      </w:r>
      <w:r w:rsidRPr="004C096B">
        <w:rPr>
          <w:rFonts w:cs="Arial"/>
          <w:shd w:val="clear" w:color="auto" w:fill="FFFFFF"/>
        </w:rPr>
        <w:t>eduction</w:t>
      </w:r>
      <w:r w:rsidR="000006F3">
        <w:rPr>
          <w:rFonts w:cs="Arial"/>
          <w:shd w:val="clear" w:color="auto" w:fill="FFFFFF"/>
        </w:rPr>
        <w:t>s</w:t>
      </w:r>
      <w:r w:rsidRPr="004C096B">
        <w:rPr>
          <w:rFonts w:cs="Arial"/>
          <w:shd w:val="clear" w:color="auto" w:fill="FFFFFF"/>
        </w:rPr>
        <w:t xml:space="preserve"> in arrests, incarcerations, and crime; and</w:t>
      </w:r>
      <w:r>
        <w:rPr>
          <w:rFonts w:cs="Arial"/>
          <w:shd w:val="clear" w:color="auto" w:fill="FFFFFF"/>
        </w:rPr>
        <w:t xml:space="preserve"> </w:t>
      </w:r>
      <w:r w:rsidRPr="004C096B">
        <w:rPr>
          <w:rFonts w:cs="Arial"/>
          <w:shd w:val="clear" w:color="auto" w:fill="FFFFFF"/>
        </w:rPr>
        <w:t>increase</w:t>
      </w:r>
      <w:r w:rsidR="000006F3">
        <w:rPr>
          <w:rFonts w:cs="Arial"/>
          <w:shd w:val="clear" w:color="auto" w:fill="FFFFFF"/>
        </w:rPr>
        <w:t>s</w:t>
      </w:r>
      <w:r w:rsidRPr="004C096B">
        <w:rPr>
          <w:rFonts w:cs="Arial"/>
          <w:shd w:val="clear" w:color="auto" w:fill="FFFFFF"/>
        </w:rPr>
        <w:t xml:space="preserve"> in police morale and community quality of life.</w:t>
      </w:r>
      <w:r w:rsidR="000006F3">
        <w:rPr>
          <w:rStyle w:val="FootnoteReference"/>
          <w:rFonts w:cs="Arial"/>
          <w:shd w:val="clear" w:color="auto" w:fill="FFFFFF"/>
        </w:rPr>
        <w:footnoteReference w:id="2"/>
      </w:r>
      <w:r w:rsidR="00270C13">
        <w:rPr>
          <w:bCs/>
          <w:sz w:val="23"/>
          <w:szCs w:val="23"/>
        </w:rPr>
        <w:t xml:space="preserve"> </w:t>
      </w:r>
    </w:p>
    <w:sectPr w:rsidR="00270C13" w:rsidSect="00F1080F">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C7B" w:rsidRDefault="008A1C7B">
      <w:r>
        <w:separator/>
      </w:r>
    </w:p>
  </w:endnote>
  <w:endnote w:type="continuationSeparator" w:id="0">
    <w:p w:rsidR="008A1C7B" w:rsidRDefault="008A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C7B" w:rsidRDefault="008A1C7B">
      <w:r>
        <w:separator/>
      </w:r>
    </w:p>
  </w:footnote>
  <w:footnote w:type="continuationSeparator" w:id="0">
    <w:p w:rsidR="008A1C7B" w:rsidRDefault="008A1C7B">
      <w:r>
        <w:continuationSeparator/>
      </w:r>
    </w:p>
  </w:footnote>
  <w:footnote w:id="1">
    <w:p w:rsidR="000006F3" w:rsidRPr="000006F3" w:rsidRDefault="000006F3" w:rsidP="000006F3">
      <w:pPr>
        <w:pStyle w:val="NoSpacing"/>
        <w:ind w:right="-270"/>
        <w:rPr>
          <w:sz w:val="18"/>
          <w:szCs w:val="18"/>
        </w:rPr>
      </w:pPr>
      <w:r w:rsidRPr="000006F3">
        <w:rPr>
          <w:rStyle w:val="FootnoteReference"/>
          <w:sz w:val="18"/>
          <w:szCs w:val="18"/>
        </w:rPr>
        <w:footnoteRef/>
      </w:r>
      <w:r w:rsidRPr="000006F3">
        <w:rPr>
          <w:sz w:val="18"/>
          <w:szCs w:val="18"/>
        </w:rPr>
        <w:t xml:space="preserve"> Michael Scott and Herman Goldstein, 1988, Center for Problem-Oriented Policing; </w:t>
      </w:r>
      <w:hyperlink r:id="rId1" w:history="1">
        <w:r w:rsidRPr="000006F3">
          <w:rPr>
            <w:rStyle w:val="Hyperlink"/>
            <w:sz w:val="18"/>
            <w:szCs w:val="18"/>
          </w:rPr>
          <w:t>http://www.popcenter.org/about/?p=elements</w:t>
        </w:r>
      </w:hyperlink>
    </w:p>
  </w:footnote>
  <w:footnote w:id="2">
    <w:p w:rsidR="000006F3" w:rsidRPr="000006F3" w:rsidRDefault="000006F3" w:rsidP="000006F3">
      <w:pPr>
        <w:pStyle w:val="NoSpacing"/>
        <w:rPr>
          <w:sz w:val="18"/>
          <w:szCs w:val="18"/>
        </w:rPr>
      </w:pPr>
      <w:r w:rsidRPr="000006F3">
        <w:rPr>
          <w:rStyle w:val="FootnoteReference"/>
          <w:sz w:val="18"/>
          <w:szCs w:val="18"/>
        </w:rPr>
        <w:footnoteRef/>
      </w:r>
      <w:r w:rsidRPr="000006F3">
        <w:rPr>
          <w:sz w:val="18"/>
          <w:szCs w:val="18"/>
        </w:rPr>
        <w:t xml:space="preserve"> Alana </w:t>
      </w:r>
      <w:proofErr w:type="spellStart"/>
      <w:r w:rsidRPr="000006F3">
        <w:rPr>
          <w:sz w:val="18"/>
          <w:szCs w:val="18"/>
        </w:rPr>
        <w:t>Semuels</w:t>
      </w:r>
      <w:proofErr w:type="spellEnd"/>
      <w:r w:rsidRPr="000006F3">
        <w:rPr>
          <w:sz w:val="18"/>
          <w:szCs w:val="18"/>
        </w:rPr>
        <w:t xml:space="preserve">, “How to Fix a Broken Police Department,” </w:t>
      </w:r>
      <w:r w:rsidRPr="000006F3">
        <w:rPr>
          <w:i/>
          <w:sz w:val="18"/>
          <w:szCs w:val="18"/>
        </w:rPr>
        <w:t>The Atlantic</w:t>
      </w:r>
      <w:r w:rsidRPr="000006F3">
        <w:rPr>
          <w:sz w:val="18"/>
          <w:szCs w:val="18"/>
        </w:rPr>
        <w:t xml:space="preserve">, May 28, 2015. </w:t>
      </w:r>
    </w:p>
    <w:p w:rsidR="000006F3" w:rsidRPr="000006F3" w:rsidRDefault="008A1C7B" w:rsidP="000006F3">
      <w:pPr>
        <w:pStyle w:val="FootnoteText"/>
        <w:rPr>
          <w:sz w:val="16"/>
          <w:szCs w:val="16"/>
        </w:rPr>
      </w:pPr>
      <w:hyperlink r:id="rId2" w:history="1">
        <w:r w:rsidR="000006F3" w:rsidRPr="000006F3">
          <w:rPr>
            <w:rStyle w:val="Hyperlink"/>
            <w:sz w:val="18"/>
            <w:szCs w:val="18"/>
          </w:rPr>
          <w:t>http://www.theatlantic.com/politics/archive/2015/05/cincinnati-police-reform/393797/</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8B262F"/>
    <w:multiLevelType w:val="hybridMultilevel"/>
    <w:tmpl w:val="06A2D34A"/>
    <w:lvl w:ilvl="0" w:tplc="8C4474B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2D2AB4"/>
    <w:multiLevelType w:val="hybridMultilevel"/>
    <w:tmpl w:val="38D46A46"/>
    <w:lvl w:ilvl="0" w:tplc="FEBC2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A6"/>
    <w:rsid w:val="000006F3"/>
    <w:rsid w:val="00166D32"/>
    <w:rsid w:val="001E6626"/>
    <w:rsid w:val="00224E08"/>
    <w:rsid w:val="00253AD8"/>
    <w:rsid w:val="00270C13"/>
    <w:rsid w:val="0027527B"/>
    <w:rsid w:val="002A0705"/>
    <w:rsid w:val="002C63B1"/>
    <w:rsid w:val="002E1D45"/>
    <w:rsid w:val="003B553A"/>
    <w:rsid w:val="00410D9C"/>
    <w:rsid w:val="00420431"/>
    <w:rsid w:val="004A7CA8"/>
    <w:rsid w:val="00570E10"/>
    <w:rsid w:val="00581A73"/>
    <w:rsid w:val="005A144D"/>
    <w:rsid w:val="005B7158"/>
    <w:rsid w:val="00713931"/>
    <w:rsid w:val="00735172"/>
    <w:rsid w:val="00773CD6"/>
    <w:rsid w:val="007971FE"/>
    <w:rsid w:val="00823186"/>
    <w:rsid w:val="008A1C7B"/>
    <w:rsid w:val="008B6DA6"/>
    <w:rsid w:val="00943082"/>
    <w:rsid w:val="00990A0A"/>
    <w:rsid w:val="00A13F26"/>
    <w:rsid w:val="00A46247"/>
    <w:rsid w:val="00B05B7F"/>
    <w:rsid w:val="00B569FA"/>
    <w:rsid w:val="00BF39BE"/>
    <w:rsid w:val="00CE5058"/>
    <w:rsid w:val="00F1080F"/>
    <w:rsid w:val="00F16A05"/>
    <w:rsid w:val="00F41E3D"/>
    <w:rsid w:val="00F95EA7"/>
    <w:rsid w:val="00FF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46146E-ACD4-486E-AFD1-CF49770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DA6"/>
    <w:rPr>
      <w:sz w:val="24"/>
      <w:szCs w:val="24"/>
    </w:rPr>
  </w:style>
  <w:style w:type="paragraph" w:styleId="Heading1">
    <w:name w:val="heading 1"/>
    <w:basedOn w:val="Normal"/>
    <w:link w:val="Heading1Char"/>
    <w:uiPriority w:val="9"/>
    <w:qFormat/>
    <w:rsid w:val="003B553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6DA6"/>
    <w:pPr>
      <w:autoSpaceDE w:val="0"/>
      <w:autoSpaceDN w:val="0"/>
      <w:adjustRightInd w:val="0"/>
    </w:pPr>
    <w:rPr>
      <w:color w:val="000000"/>
      <w:sz w:val="24"/>
      <w:szCs w:val="24"/>
    </w:rPr>
  </w:style>
  <w:style w:type="character" w:styleId="FootnoteReference">
    <w:name w:val="footnote reference"/>
    <w:semiHidden/>
    <w:rsid w:val="008B6DA6"/>
    <w:rPr>
      <w:vertAlign w:val="superscript"/>
    </w:rPr>
  </w:style>
  <w:style w:type="paragraph" w:styleId="FootnoteText">
    <w:name w:val="footnote text"/>
    <w:basedOn w:val="Normal"/>
    <w:semiHidden/>
    <w:rsid w:val="008B6DA6"/>
    <w:rPr>
      <w:sz w:val="20"/>
      <w:szCs w:val="20"/>
    </w:rPr>
  </w:style>
  <w:style w:type="paragraph" w:styleId="Header">
    <w:name w:val="header"/>
    <w:basedOn w:val="Normal"/>
    <w:rsid w:val="008B6DA6"/>
    <w:pPr>
      <w:tabs>
        <w:tab w:val="center" w:pos="4320"/>
        <w:tab w:val="right" w:pos="8640"/>
      </w:tabs>
    </w:pPr>
  </w:style>
  <w:style w:type="paragraph" w:styleId="Footer">
    <w:name w:val="footer"/>
    <w:basedOn w:val="Normal"/>
    <w:rsid w:val="008B6DA6"/>
    <w:pPr>
      <w:tabs>
        <w:tab w:val="center" w:pos="4320"/>
        <w:tab w:val="right" w:pos="8640"/>
      </w:tabs>
    </w:pPr>
  </w:style>
  <w:style w:type="character" w:customStyle="1" w:styleId="Heading1Char">
    <w:name w:val="Heading 1 Char"/>
    <w:link w:val="Heading1"/>
    <w:uiPriority w:val="9"/>
    <w:rsid w:val="003B553A"/>
    <w:rPr>
      <w:b/>
      <w:bCs/>
      <w:kern w:val="36"/>
      <w:sz w:val="48"/>
      <w:szCs w:val="48"/>
    </w:rPr>
  </w:style>
  <w:style w:type="paragraph" w:styleId="NormalWeb">
    <w:name w:val="Normal (Web)"/>
    <w:basedOn w:val="Normal"/>
    <w:uiPriority w:val="99"/>
    <w:unhideWhenUsed/>
    <w:rsid w:val="003B553A"/>
    <w:pPr>
      <w:spacing w:before="100" w:beforeAutospacing="1" w:after="100" w:afterAutospacing="1"/>
    </w:pPr>
  </w:style>
  <w:style w:type="character" w:styleId="Hyperlink">
    <w:name w:val="Hyperlink"/>
    <w:uiPriority w:val="99"/>
    <w:unhideWhenUsed/>
    <w:rsid w:val="000006F3"/>
    <w:rPr>
      <w:color w:val="0563C1"/>
      <w:u w:val="single"/>
    </w:rPr>
  </w:style>
  <w:style w:type="paragraph" w:styleId="NoSpacing">
    <w:name w:val="No Spacing"/>
    <w:uiPriority w:val="1"/>
    <w:qFormat/>
    <w:rsid w:val="000006F3"/>
    <w:rPr>
      <w:rFonts w:ascii="Calibri" w:hAnsi="Calibri"/>
      <w:sz w:val="22"/>
      <w:szCs w:val="22"/>
    </w:rPr>
  </w:style>
  <w:style w:type="paragraph" w:styleId="EndnoteText">
    <w:name w:val="endnote text"/>
    <w:basedOn w:val="Normal"/>
    <w:link w:val="EndnoteTextChar"/>
    <w:rsid w:val="000006F3"/>
    <w:rPr>
      <w:sz w:val="20"/>
      <w:szCs w:val="20"/>
    </w:rPr>
  </w:style>
  <w:style w:type="character" w:customStyle="1" w:styleId="EndnoteTextChar">
    <w:name w:val="Endnote Text Char"/>
    <w:basedOn w:val="DefaultParagraphFont"/>
    <w:link w:val="EndnoteText"/>
    <w:rsid w:val="000006F3"/>
  </w:style>
  <w:style w:type="character" w:styleId="EndnoteReference">
    <w:name w:val="endnote reference"/>
    <w:rsid w:val="000006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97894">
      <w:bodyDiv w:val="1"/>
      <w:marLeft w:val="0"/>
      <w:marRight w:val="0"/>
      <w:marTop w:val="0"/>
      <w:marBottom w:val="0"/>
      <w:divBdr>
        <w:top w:val="none" w:sz="0" w:space="0" w:color="auto"/>
        <w:left w:val="none" w:sz="0" w:space="0" w:color="auto"/>
        <w:bottom w:val="none" w:sz="0" w:space="0" w:color="auto"/>
        <w:right w:val="none" w:sz="0" w:space="0" w:color="auto"/>
      </w:divBdr>
    </w:div>
    <w:div w:id="1507868502">
      <w:bodyDiv w:val="1"/>
      <w:marLeft w:val="0"/>
      <w:marRight w:val="0"/>
      <w:marTop w:val="0"/>
      <w:marBottom w:val="0"/>
      <w:divBdr>
        <w:top w:val="none" w:sz="0" w:space="0" w:color="auto"/>
        <w:left w:val="none" w:sz="0" w:space="0" w:color="auto"/>
        <w:bottom w:val="none" w:sz="0" w:space="0" w:color="auto"/>
        <w:right w:val="none" w:sz="0" w:space="0" w:color="auto"/>
      </w:divBdr>
      <w:divsChild>
        <w:div w:id="1490946206">
          <w:marLeft w:val="0"/>
          <w:marRight w:val="0"/>
          <w:marTop w:val="0"/>
          <w:marBottom w:val="0"/>
          <w:divBdr>
            <w:top w:val="none" w:sz="0" w:space="0" w:color="auto"/>
            <w:left w:val="none" w:sz="0" w:space="0" w:color="auto"/>
            <w:bottom w:val="none" w:sz="0" w:space="0" w:color="auto"/>
            <w:right w:val="none" w:sz="0" w:space="0" w:color="auto"/>
          </w:divBdr>
        </w:div>
        <w:div w:id="385105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heatlantic.com/politics/archive/2015/05/cincinnati-police-reform/393797/" TargetMode="External"/><Relationship Id="rId1" Type="http://schemas.openxmlformats.org/officeDocument/2006/relationships/hyperlink" Target="http://www.popcenter.org/about/?p=e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94F89218-0B37-4F4D-B410-7D6833F9E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STATEMENT OF R</vt:lpstr>
    </vt:vector>
  </TitlesOfParts>
  <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dc:title>
  <dc:subject/>
  <dc:creator>R. L. McNealy</dc:creator>
  <cp:keywords/>
  <dc:description/>
  <cp:lastModifiedBy>Dr. Sharon F. Skinner</cp:lastModifiedBy>
  <cp:revision>2</cp:revision>
  <dcterms:created xsi:type="dcterms:W3CDTF">2018-11-14T16:06:00Z</dcterms:created>
  <dcterms:modified xsi:type="dcterms:W3CDTF">2018-11-14T16:06:00Z</dcterms:modified>
</cp:coreProperties>
</file>